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E0" w:rsidRDefault="000C6485" w:rsidP="0098535C">
      <w:pPr>
        <w:spacing w:before="120" w:after="120"/>
        <w:rPr>
          <w:rFonts w:ascii="Verdana" w:hAnsi="Verdana" w:cs="Arial"/>
          <w:b/>
          <w:caps/>
        </w:rPr>
      </w:pPr>
      <w:r>
        <w:rPr>
          <w:rFonts w:ascii="Verdana" w:hAnsi="Verdana" w:cs="Arial"/>
          <w:b/>
          <w:caps/>
        </w:rPr>
        <w:t xml:space="preserve">Textvorschläge </w:t>
      </w:r>
      <w:r w:rsidR="0098535C">
        <w:rPr>
          <w:rFonts w:ascii="Verdana" w:hAnsi="Verdana" w:cs="Arial"/>
          <w:b/>
          <w:caps/>
        </w:rPr>
        <w:t>„</w:t>
      </w:r>
      <w:r w:rsidR="00130113" w:rsidRPr="00FA35DB">
        <w:rPr>
          <w:rFonts w:ascii="Verdana" w:hAnsi="Verdana" w:cs="Arial"/>
          <w:b/>
          <w:caps/>
        </w:rPr>
        <w:t>Festsetzung der Abfallentsorgungsgebühren</w:t>
      </w:r>
      <w:r w:rsidR="0098535C">
        <w:rPr>
          <w:rFonts w:ascii="Verdana" w:hAnsi="Verdana" w:cs="Arial"/>
          <w:b/>
          <w:caps/>
        </w:rPr>
        <w:t>“</w:t>
      </w:r>
    </w:p>
    <w:p w:rsidR="009C218C" w:rsidRPr="00FA35DB" w:rsidRDefault="00E645E0" w:rsidP="005C0446">
      <w:pPr>
        <w:tabs>
          <w:tab w:val="clear" w:pos="284"/>
        </w:tabs>
        <w:spacing w:before="120" w:after="120"/>
        <w:rPr>
          <w:rFonts w:ascii="Verdana" w:hAnsi="Verdana" w:cs="Arial"/>
          <w:b/>
        </w:rPr>
      </w:pPr>
      <w:r w:rsidRPr="00E645E0">
        <w:rPr>
          <w:rFonts w:ascii="Verdana" w:hAnsi="Verdana" w:cs="Arial"/>
          <w:b/>
        </w:rPr>
        <w:t>A)</w:t>
      </w:r>
      <w:r w:rsidRPr="00E645E0">
        <w:rPr>
          <w:rFonts w:ascii="Verdana" w:hAnsi="Verdana" w:cs="Arial"/>
          <w:b/>
        </w:rPr>
        <w:tab/>
        <w:t>Erlöse</w:t>
      </w:r>
    </w:p>
    <w:p w:rsidR="00054360" w:rsidRPr="00FA35DB" w:rsidRDefault="00054360" w:rsidP="005C0446">
      <w:pPr>
        <w:tabs>
          <w:tab w:val="clear" w:pos="284"/>
        </w:tabs>
        <w:spacing w:before="120" w:after="120"/>
        <w:rPr>
          <w:rFonts w:ascii="Verdana" w:hAnsi="Verdana" w:cs="Arial"/>
        </w:rPr>
      </w:pPr>
      <w:r w:rsidRPr="00FA35DB">
        <w:rPr>
          <w:rFonts w:ascii="Verdana" w:hAnsi="Verdana" w:cs="Arial"/>
        </w:rPr>
        <w:t xml:space="preserve">Altpapier, Elektrogeräte und Altmetall sind Wirtschaftsgüter, deren Verkaufserlöse den </w:t>
      </w:r>
      <w:r w:rsidR="00637B08" w:rsidRPr="00FA35DB">
        <w:rPr>
          <w:rFonts w:ascii="Verdana" w:hAnsi="Verdana" w:cs="Arial"/>
        </w:rPr>
        <w:t>G</w:t>
      </w:r>
      <w:r w:rsidRPr="00FA35DB">
        <w:rPr>
          <w:rFonts w:ascii="Verdana" w:hAnsi="Verdana" w:cs="Arial"/>
        </w:rPr>
        <w:t>ebührenzahlern in voller Höhe zugutekommen müssen.</w:t>
      </w:r>
    </w:p>
    <w:p w:rsidR="00C9736E" w:rsidRPr="00FA35DB" w:rsidRDefault="009C218C" w:rsidP="005C0446">
      <w:pPr>
        <w:spacing w:before="120" w:after="120"/>
        <w:rPr>
          <w:rFonts w:ascii="Verdana" w:hAnsi="Verdana" w:cs="Arial"/>
          <w:u w:val="single"/>
        </w:rPr>
      </w:pPr>
      <w:r w:rsidRPr="00FA35DB">
        <w:rPr>
          <w:rFonts w:ascii="Verdana" w:hAnsi="Verdana" w:cs="Arial"/>
          <w:u w:val="single"/>
        </w:rPr>
        <w:t>A1</w:t>
      </w:r>
      <w:r w:rsidR="00054360" w:rsidRPr="00FA35DB">
        <w:rPr>
          <w:rFonts w:ascii="Verdana" w:hAnsi="Verdana" w:cs="Arial"/>
          <w:u w:val="single"/>
        </w:rPr>
        <w:t>)</w:t>
      </w:r>
      <w:r w:rsidR="00054360" w:rsidRPr="00FA35DB">
        <w:rPr>
          <w:rFonts w:ascii="Verdana" w:hAnsi="Verdana" w:cs="Arial"/>
          <w:u w:val="single"/>
        </w:rPr>
        <w:tab/>
        <w:t>Erlöse Altpapier</w:t>
      </w:r>
    </w:p>
    <w:p w:rsidR="00054360" w:rsidRPr="00FA35DB" w:rsidRDefault="00054360" w:rsidP="005C0446">
      <w:pPr>
        <w:spacing w:before="120" w:after="120"/>
        <w:rPr>
          <w:rFonts w:ascii="Verdana" w:hAnsi="Verdana" w:cs="Arial"/>
        </w:rPr>
      </w:pPr>
      <w:r w:rsidRPr="00FA35DB">
        <w:rPr>
          <w:rFonts w:ascii="Verdana" w:hAnsi="Verdana" w:cs="Arial"/>
        </w:rPr>
        <w:t>D</w:t>
      </w:r>
      <w:r w:rsidR="00803E10" w:rsidRPr="00FA35DB">
        <w:rPr>
          <w:rFonts w:ascii="Verdana" w:hAnsi="Verdana" w:cs="Arial"/>
        </w:rPr>
        <w:t xml:space="preserve">iesbezüglich ist der </w:t>
      </w:r>
      <w:r w:rsidRPr="00FA35DB">
        <w:rPr>
          <w:rFonts w:ascii="Verdana" w:hAnsi="Verdana" w:cs="Arial"/>
        </w:rPr>
        <w:t xml:space="preserve"> Widerspruch mindestens </w:t>
      </w:r>
      <w:r w:rsidR="00803E10" w:rsidRPr="00FA35DB">
        <w:rPr>
          <w:rFonts w:ascii="Verdana" w:hAnsi="Verdana" w:cs="Arial"/>
        </w:rPr>
        <w:t xml:space="preserve">durch </w:t>
      </w:r>
      <w:r w:rsidRPr="00FA35DB">
        <w:rPr>
          <w:rFonts w:ascii="Verdana" w:hAnsi="Verdana" w:cs="Arial"/>
        </w:rPr>
        <w:t>folgende Punkte begründet und berechtigt:</w:t>
      </w:r>
    </w:p>
    <w:p w:rsidR="00054360" w:rsidRPr="00FA35DB" w:rsidRDefault="00054360" w:rsidP="005C0446">
      <w:pPr>
        <w:pStyle w:val="Listenabsatz"/>
        <w:numPr>
          <w:ilvl w:val="0"/>
          <w:numId w:val="14"/>
        </w:numPr>
        <w:spacing w:before="120" w:after="120" w:line="240" w:lineRule="auto"/>
        <w:contextualSpacing w:val="0"/>
        <w:rPr>
          <w:rFonts w:cs="Arial"/>
        </w:rPr>
      </w:pPr>
      <w:r w:rsidRPr="00FA35DB">
        <w:rPr>
          <w:rFonts w:cs="Arial"/>
        </w:rPr>
        <w:t xml:space="preserve">Die Höhe der Erlöse sind nicht transparent dargestellt </w:t>
      </w:r>
      <w:r w:rsidR="00601E25" w:rsidRPr="00FA35DB">
        <w:rPr>
          <w:rFonts w:cs="Arial"/>
        </w:rPr>
        <w:t xml:space="preserve">(Menge, Einzelpreis, usw.) </w:t>
      </w:r>
      <w:r w:rsidRPr="00FA35DB">
        <w:rPr>
          <w:rFonts w:cs="Arial"/>
        </w:rPr>
        <w:t>und daher nicht nachvollziehbar.</w:t>
      </w:r>
    </w:p>
    <w:p w:rsidR="00054360" w:rsidRPr="00FA35DB" w:rsidRDefault="00054360" w:rsidP="005C0446">
      <w:pPr>
        <w:pStyle w:val="Listenabsatz"/>
        <w:numPr>
          <w:ilvl w:val="0"/>
          <w:numId w:val="14"/>
        </w:numPr>
        <w:spacing w:before="120" w:after="120" w:line="240" w:lineRule="auto"/>
        <w:ind w:left="714" w:hanging="357"/>
        <w:contextualSpacing w:val="0"/>
        <w:rPr>
          <w:rFonts w:cs="Arial"/>
        </w:rPr>
      </w:pPr>
      <w:r w:rsidRPr="00FA35DB">
        <w:rPr>
          <w:rFonts w:cs="Arial"/>
        </w:rPr>
        <w:t xml:space="preserve">Die Verkaufserlöse für Altpapier werden </w:t>
      </w:r>
      <w:r w:rsidR="00601E25" w:rsidRPr="00FA35DB">
        <w:rPr>
          <w:rFonts w:cs="Arial"/>
        </w:rPr>
        <w:t xml:space="preserve">2016 </w:t>
      </w:r>
      <w:r w:rsidRPr="00FA35DB">
        <w:rPr>
          <w:rFonts w:cs="Arial"/>
        </w:rPr>
        <w:t>nicht, wie beispielsweise 2014 mit über 20</w:t>
      </w:r>
      <w:r w:rsidR="00637B08" w:rsidRPr="00FA35DB">
        <w:rPr>
          <w:rFonts w:cs="Arial"/>
        </w:rPr>
        <w:t>3</w:t>
      </w:r>
      <w:r w:rsidRPr="00FA35DB">
        <w:rPr>
          <w:rFonts w:cs="Arial"/>
        </w:rPr>
        <w:t>.000 EURO berücksichtigt,</w:t>
      </w:r>
      <w:r w:rsidR="00601E25" w:rsidRPr="00FA35DB">
        <w:rPr>
          <w:rFonts w:cs="Arial"/>
        </w:rPr>
        <w:t xml:space="preserve"> sondern nur zu einem Bruchteil in Ansatz gebracht.</w:t>
      </w:r>
    </w:p>
    <w:p w:rsidR="00601E25" w:rsidRPr="00FA35DB" w:rsidRDefault="00637B08" w:rsidP="005C0446">
      <w:pPr>
        <w:pStyle w:val="Listenabsatz"/>
        <w:numPr>
          <w:ilvl w:val="0"/>
          <w:numId w:val="14"/>
        </w:numPr>
        <w:spacing w:before="120" w:after="120" w:line="240" w:lineRule="auto"/>
        <w:ind w:left="714" w:hanging="357"/>
        <w:contextualSpacing w:val="0"/>
        <w:rPr>
          <w:rFonts w:cs="Arial"/>
        </w:rPr>
      </w:pPr>
      <w:r w:rsidRPr="00FA35DB">
        <w:rPr>
          <w:rFonts w:cs="Arial"/>
        </w:rPr>
        <w:t xml:space="preserve">Vor dem Hintergrund, dass aller Erfahrung nach </w:t>
      </w:r>
      <w:r w:rsidR="001D1C01" w:rsidRPr="00FA35DB">
        <w:rPr>
          <w:rFonts w:cs="Arial"/>
        </w:rPr>
        <w:t>im Altpapier in nicht unerhebliche</w:t>
      </w:r>
      <w:r w:rsidR="00A46803">
        <w:rPr>
          <w:rFonts w:cs="Arial"/>
        </w:rPr>
        <w:t>m</w:t>
      </w:r>
      <w:r w:rsidR="001D1C01" w:rsidRPr="00FA35DB">
        <w:rPr>
          <w:rFonts w:cs="Arial"/>
        </w:rPr>
        <w:t xml:space="preserve"> Umfang auch „Papierverpackungen“ mit einem „Grünen Punkt“ landen, ist es angezeigt, dass das DSD (Duale System Deutschland) </w:t>
      </w:r>
      <w:r w:rsidR="00921887" w:rsidRPr="00FA35DB">
        <w:rPr>
          <w:rFonts w:cs="Arial"/>
        </w:rPr>
        <w:t xml:space="preserve">einen entsprechenden </w:t>
      </w:r>
      <w:r w:rsidR="00973AA9" w:rsidRPr="00FA35DB">
        <w:rPr>
          <w:rFonts w:cs="Arial"/>
        </w:rPr>
        <w:t>Kostena</w:t>
      </w:r>
      <w:r w:rsidR="00921887" w:rsidRPr="00FA35DB">
        <w:rPr>
          <w:rFonts w:cs="Arial"/>
        </w:rPr>
        <w:t>nteil zahlt und dieser dann als Erlös den Gebührenzahlern zugute</w:t>
      </w:r>
      <w:r w:rsidR="00973AA9" w:rsidRPr="00FA35DB">
        <w:rPr>
          <w:rFonts w:cs="Arial"/>
        </w:rPr>
        <w:t>kommt.</w:t>
      </w:r>
      <w:r w:rsidR="00973AA9" w:rsidRPr="00FA35DB">
        <w:rPr>
          <w:rFonts w:cs="Arial"/>
        </w:rPr>
        <w:br/>
      </w:r>
      <w:r w:rsidR="00973AA9" w:rsidRPr="00FA35DB">
        <w:rPr>
          <w:rFonts w:cs="Arial"/>
        </w:rPr>
        <w:br/>
        <w:t>Ein derartiger Anteil des DSD ist nicht ausgewiesen, so dass auch hier Intransparenz besteht.</w:t>
      </w:r>
    </w:p>
    <w:p w:rsidR="00054360" w:rsidRPr="00FA35DB" w:rsidRDefault="009C218C" w:rsidP="005C0446">
      <w:pPr>
        <w:pStyle w:val="Listenabsatz"/>
        <w:numPr>
          <w:ilvl w:val="0"/>
          <w:numId w:val="14"/>
        </w:numPr>
        <w:spacing w:before="120" w:after="120" w:line="240" w:lineRule="auto"/>
        <w:ind w:left="714" w:hanging="357"/>
        <w:contextualSpacing w:val="0"/>
        <w:rPr>
          <w:rFonts w:cs="Arial"/>
        </w:rPr>
      </w:pPr>
      <w:r w:rsidRPr="00FA35DB">
        <w:rPr>
          <w:rFonts w:cs="Arial"/>
        </w:rPr>
        <w:t xml:space="preserve">Dies ist nachzuholen und </w:t>
      </w:r>
      <w:r w:rsidR="00054360" w:rsidRPr="00FA35DB">
        <w:rPr>
          <w:rFonts w:cs="Arial"/>
        </w:rPr>
        <w:t>eine entsprechende Reduzierung der Abfallentsorgungsgebühren vorzunehmen.</w:t>
      </w:r>
    </w:p>
    <w:p w:rsidR="00E645E0" w:rsidRDefault="00E645E0" w:rsidP="00E645E0">
      <w:pPr>
        <w:pStyle w:val="Listenabsatz"/>
        <w:spacing w:before="120" w:after="120" w:line="240" w:lineRule="auto"/>
        <w:ind w:left="714"/>
        <w:contextualSpacing w:val="0"/>
        <w:rPr>
          <w:rFonts w:cs="Arial"/>
        </w:rPr>
      </w:pPr>
    </w:p>
    <w:p w:rsidR="00803E10" w:rsidRPr="00FA35DB" w:rsidRDefault="009C218C" w:rsidP="005C0446">
      <w:pPr>
        <w:spacing w:before="120" w:after="120"/>
        <w:rPr>
          <w:rFonts w:ascii="Verdana" w:hAnsi="Verdana" w:cs="Arial"/>
          <w:u w:val="single"/>
        </w:rPr>
      </w:pPr>
      <w:r w:rsidRPr="00FA35DB">
        <w:rPr>
          <w:rFonts w:ascii="Verdana" w:hAnsi="Verdana" w:cs="Arial"/>
          <w:u w:val="single"/>
        </w:rPr>
        <w:t>A2</w:t>
      </w:r>
      <w:r w:rsidR="00803E10" w:rsidRPr="00FA35DB">
        <w:rPr>
          <w:rFonts w:ascii="Verdana" w:hAnsi="Verdana" w:cs="Arial"/>
          <w:u w:val="single"/>
        </w:rPr>
        <w:t>)</w:t>
      </w:r>
      <w:r w:rsidR="00803E10" w:rsidRPr="00FA35DB">
        <w:rPr>
          <w:rFonts w:ascii="Verdana" w:hAnsi="Verdana" w:cs="Arial"/>
          <w:u w:val="single"/>
        </w:rPr>
        <w:tab/>
        <w:t>Erlöse Altglas</w:t>
      </w:r>
    </w:p>
    <w:p w:rsidR="00803E10" w:rsidRPr="00FA35DB" w:rsidRDefault="00803E10" w:rsidP="005C0446">
      <w:pPr>
        <w:spacing w:before="120" w:after="120"/>
        <w:rPr>
          <w:rFonts w:ascii="Verdana" w:hAnsi="Verdana" w:cs="Arial"/>
        </w:rPr>
      </w:pPr>
      <w:r w:rsidRPr="00FA35DB">
        <w:rPr>
          <w:rFonts w:ascii="Verdana" w:hAnsi="Verdana" w:cs="Arial"/>
        </w:rPr>
        <w:t>Diesbezüglich ist der  Widerspruch mindestens durch folgende Punkte begründet und berechtigt:</w:t>
      </w:r>
    </w:p>
    <w:p w:rsidR="009157A3" w:rsidRPr="00FA35DB" w:rsidRDefault="008E35FC" w:rsidP="005C0446">
      <w:pPr>
        <w:pStyle w:val="Listenabsatz"/>
        <w:numPr>
          <w:ilvl w:val="0"/>
          <w:numId w:val="15"/>
        </w:numPr>
        <w:spacing w:before="120" w:after="120" w:line="240" w:lineRule="auto"/>
        <w:ind w:left="714" w:hanging="357"/>
        <w:contextualSpacing w:val="0"/>
        <w:rPr>
          <w:rFonts w:cs="Arial"/>
        </w:rPr>
      </w:pPr>
      <w:r w:rsidRPr="00FA35DB">
        <w:rPr>
          <w:rFonts w:cs="Arial"/>
        </w:rPr>
        <w:t xml:space="preserve">Die Verkaufserlöse Altglas </w:t>
      </w:r>
      <w:r w:rsidR="00803E10" w:rsidRPr="00FA35DB">
        <w:rPr>
          <w:rFonts w:cs="Arial"/>
        </w:rPr>
        <w:t xml:space="preserve">(Menge, Einzelpreis, usw.) </w:t>
      </w:r>
      <w:r w:rsidR="009C218C" w:rsidRPr="00FA35DB">
        <w:rPr>
          <w:rFonts w:cs="Arial"/>
        </w:rPr>
        <w:t>fehlen gänzlich</w:t>
      </w:r>
      <w:r w:rsidR="009157A3" w:rsidRPr="00FA35DB">
        <w:rPr>
          <w:rFonts w:cs="Arial"/>
        </w:rPr>
        <w:t xml:space="preserve"> </w:t>
      </w:r>
      <w:r w:rsidR="00803E10" w:rsidRPr="00FA35DB">
        <w:rPr>
          <w:rFonts w:cs="Arial"/>
        </w:rPr>
        <w:t xml:space="preserve">und </w:t>
      </w:r>
      <w:r w:rsidR="009157A3" w:rsidRPr="00FA35DB">
        <w:rPr>
          <w:rFonts w:cs="Arial"/>
        </w:rPr>
        <w:t xml:space="preserve">somit auch die Erlöse </w:t>
      </w:r>
      <w:r w:rsidR="00FA35DB" w:rsidRPr="00FA35DB">
        <w:rPr>
          <w:rFonts w:cs="Arial"/>
        </w:rPr>
        <w:t>in voller Höhe.</w:t>
      </w:r>
    </w:p>
    <w:p w:rsidR="00054360" w:rsidRPr="00FA35DB" w:rsidRDefault="009157A3" w:rsidP="005C0446">
      <w:pPr>
        <w:pStyle w:val="Listenabsatz"/>
        <w:numPr>
          <w:ilvl w:val="0"/>
          <w:numId w:val="15"/>
        </w:numPr>
        <w:spacing w:before="120" w:after="120" w:line="240" w:lineRule="auto"/>
        <w:ind w:left="714" w:hanging="357"/>
        <w:contextualSpacing w:val="0"/>
        <w:rPr>
          <w:rFonts w:cs="Arial"/>
        </w:rPr>
      </w:pPr>
      <w:r w:rsidRPr="00FA35DB">
        <w:rPr>
          <w:rFonts w:cs="Arial"/>
        </w:rPr>
        <w:t xml:space="preserve">Dieser Erlösposten </w:t>
      </w:r>
      <w:r w:rsidR="00A46803">
        <w:rPr>
          <w:rFonts w:cs="Arial"/>
        </w:rPr>
        <w:t xml:space="preserve">ist </w:t>
      </w:r>
      <w:r w:rsidR="00803E10" w:rsidRPr="00FA35DB">
        <w:rPr>
          <w:rFonts w:cs="Arial"/>
        </w:rPr>
        <w:t>daher nicht</w:t>
      </w:r>
      <w:r w:rsidR="008E35FC" w:rsidRPr="00FA35DB">
        <w:rPr>
          <w:rFonts w:cs="Arial"/>
        </w:rPr>
        <w:t xml:space="preserve"> nachvollziehbar.</w:t>
      </w:r>
    </w:p>
    <w:p w:rsidR="0059675E" w:rsidRPr="00FA35DB" w:rsidRDefault="0059675E" w:rsidP="005C0446">
      <w:pPr>
        <w:pStyle w:val="Listenabsatz"/>
        <w:numPr>
          <w:ilvl w:val="0"/>
          <w:numId w:val="15"/>
        </w:numPr>
        <w:spacing w:before="120" w:after="120" w:line="240" w:lineRule="auto"/>
        <w:contextualSpacing w:val="0"/>
        <w:rPr>
          <w:rFonts w:cs="Arial"/>
        </w:rPr>
      </w:pPr>
      <w:r w:rsidRPr="00FA35DB">
        <w:rPr>
          <w:rFonts w:cs="Arial"/>
        </w:rPr>
        <w:t>Vor dem Hintergrund, dass aller Erfahrung nach im Altglas in nicht unerheblichen Umfang auch Flaschen u.ä. mit einem „Grünen Punkt“ landen, ist es angezeigt, dass das DSD (Duale System Deutschland) einen entsprechenden Kostenanteil zahlt und dieser dann als Erlös den Gebührenzahlern zugutekommt.</w:t>
      </w:r>
      <w:r w:rsidRPr="00FA35DB">
        <w:rPr>
          <w:rFonts w:cs="Arial"/>
        </w:rPr>
        <w:br/>
      </w:r>
      <w:r w:rsidRPr="00FA35DB">
        <w:rPr>
          <w:rFonts w:cs="Arial"/>
        </w:rPr>
        <w:br/>
        <w:t>Ein derartiger Anteil des DSD ist nicht ausgewiesen, so dass auch hier Intransparenz besteht.</w:t>
      </w:r>
    </w:p>
    <w:p w:rsidR="008E35FC" w:rsidRPr="00FA35DB" w:rsidRDefault="009157A3" w:rsidP="005C0446">
      <w:pPr>
        <w:pStyle w:val="Listenabsatz"/>
        <w:numPr>
          <w:ilvl w:val="0"/>
          <w:numId w:val="15"/>
        </w:numPr>
        <w:spacing w:before="120" w:after="120" w:line="240" w:lineRule="auto"/>
        <w:ind w:left="714" w:hanging="357"/>
        <w:contextualSpacing w:val="0"/>
        <w:rPr>
          <w:rFonts w:cs="Arial"/>
        </w:rPr>
      </w:pPr>
      <w:r w:rsidRPr="00FA35DB">
        <w:rPr>
          <w:rFonts w:cs="Arial"/>
        </w:rPr>
        <w:t>Dies ist nachzuholen und dementsprechend sind die Abfallentsorgungsgebühren zu senken.</w:t>
      </w:r>
    </w:p>
    <w:p w:rsidR="00E645E0" w:rsidRDefault="00E645E0" w:rsidP="00E645E0">
      <w:pPr>
        <w:pStyle w:val="Listenabsatz"/>
        <w:spacing w:before="120" w:after="120" w:line="240" w:lineRule="auto"/>
        <w:ind w:left="714"/>
        <w:contextualSpacing w:val="0"/>
        <w:rPr>
          <w:rFonts w:cs="Arial"/>
        </w:rPr>
      </w:pPr>
    </w:p>
    <w:p w:rsidR="0059675E" w:rsidRPr="00FA35DB" w:rsidRDefault="00E645E0" w:rsidP="005C0446">
      <w:pPr>
        <w:tabs>
          <w:tab w:val="clear" w:pos="284"/>
        </w:tabs>
        <w:spacing w:before="120" w:after="120"/>
        <w:rPr>
          <w:rFonts w:ascii="Verdana" w:hAnsi="Verdana" w:cs="Arial"/>
          <w:b/>
        </w:rPr>
      </w:pPr>
      <w:r w:rsidRPr="00E645E0">
        <w:rPr>
          <w:rFonts w:ascii="Verdana" w:hAnsi="Verdana" w:cs="Arial"/>
          <w:b/>
        </w:rPr>
        <w:t>B)</w:t>
      </w:r>
      <w:r w:rsidRPr="00E645E0">
        <w:rPr>
          <w:rFonts w:ascii="Verdana" w:hAnsi="Verdana" w:cs="Arial"/>
          <w:b/>
        </w:rPr>
        <w:tab/>
        <w:t>„Abfallberatung“</w:t>
      </w:r>
    </w:p>
    <w:p w:rsidR="003E2471" w:rsidRPr="00FA35DB" w:rsidRDefault="003E2471" w:rsidP="003E2471">
      <w:pPr>
        <w:spacing w:before="120" w:after="120"/>
        <w:rPr>
          <w:rFonts w:ascii="Verdana" w:hAnsi="Verdana" w:cs="Arial"/>
        </w:rPr>
      </w:pPr>
      <w:r w:rsidRPr="00FA35DB">
        <w:rPr>
          <w:rFonts w:ascii="Verdana" w:hAnsi="Verdana" w:cs="Arial"/>
        </w:rPr>
        <w:t>Die Position „Abfallberatung“ verzeichnet gegenüber 2015 (383.831 EURO) eine Steigerung von fast 474.000 EURO auf 857.685 EURO für 2016, also um über 123% (!).</w:t>
      </w:r>
    </w:p>
    <w:p w:rsidR="003E2471" w:rsidRPr="00FA35DB" w:rsidRDefault="003E2471" w:rsidP="003E2471">
      <w:pPr>
        <w:spacing w:before="120" w:after="120"/>
        <w:rPr>
          <w:rFonts w:ascii="Verdana" w:hAnsi="Verdana" w:cs="Arial"/>
        </w:rPr>
      </w:pPr>
      <w:r w:rsidRPr="00FA35DB">
        <w:rPr>
          <w:rFonts w:ascii="Verdana" w:hAnsi="Verdana" w:cs="Arial"/>
        </w:rPr>
        <w:t xml:space="preserve">Begründet wird dies u.a. mit dem </w:t>
      </w:r>
      <w:r w:rsidRPr="00FA35DB">
        <w:rPr>
          <w:rFonts w:ascii="Verdana" w:hAnsi="Verdana" w:cs="Arial"/>
          <w:b/>
        </w:rPr>
        <w:t>Aufbau</w:t>
      </w:r>
      <w:r w:rsidRPr="00FA35DB">
        <w:rPr>
          <w:rFonts w:ascii="Verdana" w:hAnsi="Verdana" w:cs="Arial"/>
        </w:rPr>
        <w:t xml:space="preserve"> eines „Servicetelefons“ und dazu die </w:t>
      </w:r>
      <w:r w:rsidRPr="00FA35DB">
        <w:rPr>
          <w:rFonts w:ascii="Verdana" w:hAnsi="Verdana" w:cs="Arial"/>
          <w:b/>
        </w:rPr>
        <w:t>Erweiterung</w:t>
      </w:r>
      <w:r w:rsidRPr="00FA35DB">
        <w:rPr>
          <w:rFonts w:ascii="Verdana" w:hAnsi="Verdana" w:cs="Arial"/>
        </w:rPr>
        <w:t xml:space="preserve"> </w:t>
      </w:r>
      <w:r w:rsidR="00BA7E23">
        <w:rPr>
          <w:rFonts w:ascii="Verdana" w:hAnsi="Verdana" w:cs="Arial"/>
        </w:rPr>
        <w:t>d</w:t>
      </w:r>
      <w:r w:rsidRPr="00FA35DB">
        <w:rPr>
          <w:rFonts w:ascii="Verdana" w:hAnsi="Verdana" w:cs="Arial"/>
        </w:rPr>
        <w:t>es Bildungsprogrammes.</w:t>
      </w:r>
    </w:p>
    <w:p w:rsidR="003E2471" w:rsidRPr="00FA35DB" w:rsidRDefault="003E2471" w:rsidP="003E2471">
      <w:pPr>
        <w:spacing w:before="120" w:after="120"/>
        <w:rPr>
          <w:rFonts w:ascii="Verdana" w:hAnsi="Verdana" w:cs="Arial"/>
        </w:rPr>
      </w:pPr>
      <w:r w:rsidRPr="00FA35DB">
        <w:rPr>
          <w:rFonts w:ascii="Verdana" w:hAnsi="Verdana" w:cs="Arial"/>
        </w:rPr>
        <w:t xml:space="preserve">In der Sitzung des Umweltausschusses vom 01.12.2015 erklärte die Verwaltung auf Nachfrage eines Ausschussmitgliedes, dass es sich bei der „Abfallberatung“ um eine </w:t>
      </w:r>
      <w:r w:rsidRPr="00FA35DB">
        <w:rPr>
          <w:rFonts w:ascii="Verdana" w:hAnsi="Verdana" w:cs="Arial"/>
          <w:b/>
        </w:rPr>
        <w:t>bestehende Beratung der GEM</w:t>
      </w:r>
      <w:r w:rsidRPr="00FA35DB">
        <w:rPr>
          <w:rFonts w:ascii="Verdana" w:hAnsi="Verdana" w:cs="Arial"/>
        </w:rPr>
        <w:t xml:space="preserve"> handelt. </w:t>
      </w:r>
    </w:p>
    <w:p w:rsidR="003E2471" w:rsidRPr="00FA35DB" w:rsidRDefault="003E2471" w:rsidP="003E2471">
      <w:pPr>
        <w:spacing w:before="120" w:after="120"/>
        <w:rPr>
          <w:rFonts w:ascii="Verdana" w:hAnsi="Verdana" w:cs="Arial"/>
        </w:rPr>
      </w:pPr>
      <w:r w:rsidRPr="00FA35DB">
        <w:rPr>
          <w:rFonts w:ascii="Verdana" w:hAnsi="Verdana" w:cs="Arial"/>
        </w:rPr>
        <w:t>Einige ehemalige Maßnahmen aus dem Maßnahmenkatalog „Saubere Stadt“ seien nun bei der GEM als normal laufende Kosten eingeflossen. Mittlerweile gebe es 11 Mitarbeiter, die in diesem Bereich arbeiten.</w:t>
      </w:r>
    </w:p>
    <w:p w:rsidR="003E2471" w:rsidRPr="00FA35DB" w:rsidRDefault="003E2471" w:rsidP="003E2471">
      <w:pPr>
        <w:spacing w:before="120" w:after="120"/>
        <w:rPr>
          <w:rFonts w:ascii="Verdana" w:hAnsi="Verdana" w:cs="Arial"/>
        </w:rPr>
      </w:pPr>
      <w:r w:rsidRPr="00FA35DB">
        <w:rPr>
          <w:rFonts w:ascii="Verdana" w:hAnsi="Verdana" w:cs="Arial"/>
        </w:rPr>
        <w:lastRenderedPageBreak/>
        <w:t>Der Widerspruch ist durch mindestens folgende Punkte begründet und berechtigt:</w:t>
      </w:r>
    </w:p>
    <w:p w:rsidR="003E2471" w:rsidRPr="00FA35DB" w:rsidRDefault="003E2471" w:rsidP="003E2471">
      <w:pPr>
        <w:pStyle w:val="Listenabsatz"/>
        <w:numPr>
          <w:ilvl w:val="0"/>
          <w:numId w:val="16"/>
        </w:numPr>
        <w:spacing w:before="120" w:after="120" w:line="240" w:lineRule="auto"/>
        <w:contextualSpacing w:val="0"/>
        <w:rPr>
          <w:rFonts w:cs="Arial"/>
        </w:rPr>
      </w:pPr>
      <w:r w:rsidRPr="00FA35DB">
        <w:rPr>
          <w:rFonts w:cs="Arial"/>
        </w:rPr>
        <w:t xml:space="preserve">Wenn die Position „Abfallberatung“ bei der GEM als „normal laufende Kosten“ eingeflossen </w:t>
      </w:r>
      <w:r w:rsidR="00BA7E23">
        <w:rPr>
          <w:rFonts w:cs="Arial"/>
        </w:rPr>
        <w:t>ist</w:t>
      </w:r>
      <w:r w:rsidR="00BA7E23" w:rsidRPr="00FA35DB">
        <w:rPr>
          <w:rFonts w:cs="Arial"/>
        </w:rPr>
        <w:t xml:space="preserve"> </w:t>
      </w:r>
      <w:r w:rsidRPr="00FA35DB">
        <w:rPr>
          <w:rFonts w:cs="Arial"/>
        </w:rPr>
        <w:t>(Unternehmervergütung)</w:t>
      </w:r>
      <w:r w:rsidR="00BA7E23">
        <w:rPr>
          <w:rFonts w:cs="Arial"/>
        </w:rPr>
        <w:t>,</w:t>
      </w:r>
      <w:r w:rsidRPr="00FA35DB">
        <w:rPr>
          <w:rFonts w:cs="Arial"/>
        </w:rPr>
        <w:t xml:space="preserve"> handelt es sich bei dieser Position um eine Doppelberechnung.</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 xml:space="preserve">Schon bislang existieren telefonische Abfallberatungen u.a. bei der GEM (siehe Bestätigung im Umweltausschuss), bei der Stadtverwaltung und der Verbraucherzentrale. </w:t>
      </w:r>
      <w:r w:rsidRPr="00FA35DB">
        <w:rPr>
          <w:rFonts w:cs="Arial"/>
        </w:rPr>
        <w:br/>
      </w:r>
      <w:r w:rsidRPr="00FA35DB">
        <w:rPr>
          <w:rFonts w:cs="Arial"/>
        </w:rPr>
        <w:br/>
        <w:t>Die Notwendigkeit einer Ausweitung der Beratungsleistungen mit massiver Personalaufstockung und den darauf fußenden Kostensteigerungen ist nicht zu erkennen und wurde auch nicht nachvollziehbar kommuniziert.</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Das „Beratungsspektrum“ ist sowohl qualitativ als auch quantitativ weder bekannt, noch sind in bisherigen Veröffentlichungen Ansätze erkennbar, die eine Ausweitung (verbunden mit den Kostensteigerungen gegenüber der bisherigen Praxis) rechtfertigen würden.</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 xml:space="preserve">Nicht erkennbar ist weiterhin, in welchem zeitlichen Umfang beispielsweise in 2014 und 2015 wie viele Beratungsfälle mit welchem spezifischen Aufwand abgewickelt wurden, so dass </w:t>
      </w:r>
      <w:r w:rsidR="001E4DE8" w:rsidRPr="00FA35DB">
        <w:rPr>
          <w:rFonts w:cs="Arial"/>
        </w:rPr>
        <w:t>die Kosten auch diesbezüglich nicht nachvollziehbar sind.</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 xml:space="preserve">Ein Service-Telefon widerspricht prinzipiell dem Grundsatz der speziellen Entgeltlichkeit, weil eine individuell zurechenbare Leistung nicht vorliegt. Die Kosten sind daher nicht umlagefähig. </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Selbst wenn durch Gerichtsurteile oder andere Rechtsgrundlagen nachgewiesen würde, dass die Kosten „umlagefähig“ sein sollten, ist auch in Relation zu vergleichbaren Kommunen die exorbitante Steigerung in keinster Weise vertretbar.</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 xml:space="preserve">Unbeschadet dessen können nach einschlägiger Rechtsprechung Maßnahmen </w:t>
      </w:r>
      <w:r w:rsidR="00F14549" w:rsidRPr="00FA35DB">
        <w:rPr>
          <w:rFonts w:cs="Arial"/>
        </w:rPr>
        <w:t xml:space="preserve">prinzipiell </w:t>
      </w:r>
      <w:r w:rsidRPr="00FA35DB">
        <w:rPr>
          <w:rFonts w:cs="Arial"/>
        </w:rPr>
        <w:t>erst dann gebührenrelevant werden, wenn sie abgeschlossen/eingeführt sind (Periodengerechtigkeit). Dies wäre bei der „Abfallberatung“ nicht der Fall, weil explizit von einem „</w:t>
      </w:r>
      <w:r w:rsidRPr="00FA35DB">
        <w:rPr>
          <w:rFonts w:cs="Arial"/>
          <w:b/>
        </w:rPr>
        <w:t>Aufbau</w:t>
      </w:r>
      <w:r w:rsidRPr="00FA35DB">
        <w:rPr>
          <w:rFonts w:cs="Arial"/>
        </w:rPr>
        <w:t xml:space="preserve"> des Servicetelefons“ gesprochen wird. </w:t>
      </w:r>
    </w:p>
    <w:p w:rsidR="00F14549" w:rsidRPr="00FA35DB" w:rsidRDefault="00F14549" w:rsidP="00F14549">
      <w:pPr>
        <w:spacing w:before="120" w:after="120"/>
        <w:ind w:left="357"/>
        <w:rPr>
          <w:rFonts w:ascii="Verdana" w:hAnsi="Verdana" w:cs="Arial"/>
        </w:rPr>
      </w:pPr>
      <w:r w:rsidRPr="00FA35DB">
        <w:rPr>
          <w:rFonts w:ascii="Verdana" w:hAnsi="Verdana" w:cs="Arial"/>
        </w:rPr>
        <w:tab/>
        <w:t xml:space="preserve">(Keine Leistungserbringung durch die Kommune = </w:t>
      </w:r>
      <w:r w:rsidR="001E4DE8" w:rsidRPr="00FA35DB">
        <w:rPr>
          <w:rFonts w:ascii="Verdana" w:hAnsi="Verdana" w:cs="Arial"/>
        </w:rPr>
        <w:t>k</w:t>
      </w:r>
      <w:r w:rsidRPr="00FA35DB">
        <w:rPr>
          <w:rFonts w:ascii="Verdana" w:hAnsi="Verdana" w:cs="Arial"/>
        </w:rPr>
        <w:t>eine Gebührenerhebung).</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Gleiches (wie Pkt. 5.) gilt für die „</w:t>
      </w:r>
      <w:r w:rsidRPr="00FA35DB">
        <w:rPr>
          <w:rFonts w:cs="Arial"/>
          <w:b/>
        </w:rPr>
        <w:t>Erweiterung</w:t>
      </w:r>
      <w:r w:rsidRPr="00FA35DB">
        <w:rPr>
          <w:rFonts w:cs="Arial"/>
        </w:rPr>
        <w:t xml:space="preserve"> des Bildungsprogramms“, zu dem weder Umfang noch Inhalte noch die Kosten transparent dargestellt sind.</w:t>
      </w:r>
    </w:p>
    <w:p w:rsidR="003E2471" w:rsidRPr="00FA35DB" w:rsidRDefault="003E2471" w:rsidP="003E2471">
      <w:pPr>
        <w:pStyle w:val="Listenabsatz"/>
        <w:numPr>
          <w:ilvl w:val="0"/>
          <w:numId w:val="16"/>
        </w:numPr>
        <w:spacing w:before="120" w:after="120" w:line="240" w:lineRule="auto"/>
        <w:ind w:left="714" w:hanging="357"/>
        <w:contextualSpacing w:val="0"/>
        <w:rPr>
          <w:rFonts w:cs="Arial"/>
        </w:rPr>
      </w:pPr>
      <w:r w:rsidRPr="00FA35DB">
        <w:rPr>
          <w:rFonts w:cs="Arial"/>
        </w:rPr>
        <w:t xml:space="preserve">Darüber hinaus ist nicht erkennbar, ob und in welchem Umfang sich das „Duale System Deutschland“ </w:t>
      </w:r>
      <w:r w:rsidR="000C72E0" w:rsidRPr="00FA35DB">
        <w:rPr>
          <w:rFonts w:cs="Arial"/>
        </w:rPr>
        <w:t xml:space="preserve">(DSD) </w:t>
      </w:r>
      <w:r w:rsidRPr="00FA35DB">
        <w:rPr>
          <w:rFonts w:cs="Arial"/>
        </w:rPr>
        <w:t xml:space="preserve">an den Kosten der Abfallberatung beteiligt und diese Kostenbeteiligung zur Gebührenminderung führt. </w:t>
      </w:r>
    </w:p>
    <w:p w:rsidR="005C0446" w:rsidRPr="00FA35DB" w:rsidRDefault="005C0446" w:rsidP="005C0446">
      <w:pPr>
        <w:tabs>
          <w:tab w:val="clear" w:pos="284"/>
        </w:tabs>
        <w:spacing w:before="120" w:after="120"/>
        <w:rPr>
          <w:rFonts w:ascii="Verdana" w:hAnsi="Verdana" w:cs="Arial"/>
        </w:rPr>
      </w:pPr>
    </w:p>
    <w:p w:rsidR="00491F3F" w:rsidRPr="003F76E9" w:rsidRDefault="00E645E0" w:rsidP="00491F3F">
      <w:pPr>
        <w:tabs>
          <w:tab w:val="clear" w:pos="284"/>
        </w:tabs>
        <w:spacing w:before="120" w:after="120"/>
        <w:rPr>
          <w:rFonts w:ascii="Verdana" w:hAnsi="Verdana" w:cs="Arial"/>
          <w:b/>
        </w:rPr>
      </w:pPr>
      <w:r w:rsidRPr="00E645E0">
        <w:rPr>
          <w:rFonts w:ascii="Verdana" w:hAnsi="Verdana" w:cs="Arial"/>
          <w:b/>
        </w:rPr>
        <w:t>C)</w:t>
      </w:r>
      <w:r w:rsidRPr="00E645E0">
        <w:rPr>
          <w:rFonts w:ascii="Verdana" w:hAnsi="Verdana" w:cs="Arial"/>
          <w:b/>
        </w:rPr>
        <w:tab/>
        <w:t>„Schnelle Mülleingreiftruppe“</w:t>
      </w:r>
    </w:p>
    <w:p w:rsidR="00491F3F" w:rsidRPr="00FA35DB" w:rsidRDefault="00491F3F" w:rsidP="00491F3F">
      <w:pPr>
        <w:spacing w:before="120" w:after="120"/>
        <w:rPr>
          <w:rFonts w:ascii="Verdana" w:hAnsi="Verdana" w:cs="Arial"/>
        </w:rPr>
      </w:pPr>
      <w:r w:rsidRPr="00FA35DB">
        <w:rPr>
          <w:rFonts w:ascii="Verdana" w:hAnsi="Verdana" w:cs="Arial"/>
        </w:rPr>
        <w:t xml:space="preserve">Versteckt in der Position „GEM (insgesamt)“ im Unterpunkt „Systemabfalleimer“ wird von „zusätzlichem Personal zum </w:t>
      </w:r>
      <w:r w:rsidRPr="00FA35DB">
        <w:rPr>
          <w:rFonts w:ascii="Verdana" w:hAnsi="Verdana" w:cs="Arial"/>
          <w:b/>
        </w:rPr>
        <w:t>Aufbau</w:t>
      </w:r>
      <w:r w:rsidRPr="00FA35DB">
        <w:rPr>
          <w:rFonts w:ascii="Verdana" w:hAnsi="Verdana" w:cs="Arial"/>
        </w:rPr>
        <w:t xml:space="preserve"> der schnellen Mülleingreiftruppe“ gesprochen, wodurch eine Steigerung gegenüber 2015 von 505.000 EURO angesetzt wird.</w:t>
      </w:r>
    </w:p>
    <w:p w:rsidR="00491F3F" w:rsidRPr="00FA35DB" w:rsidRDefault="00491F3F" w:rsidP="00491F3F">
      <w:pPr>
        <w:spacing w:before="120" w:after="120"/>
        <w:rPr>
          <w:rFonts w:ascii="Verdana" w:hAnsi="Verdana" w:cs="Arial"/>
        </w:rPr>
      </w:pPr>
      <w:r w:rsidRPr="00FA35DB">
        <w:rPr>
          <w:rFonts w:ascii="Verdana" w:hAnsi="Verdana" w:cs="Arial"/>
        </w:rPr>
        <w:t>Gegenüber 2014 beträgt diese Steigerung sogar mehr als 1 Mio. EURO.</w:t>
      </w:r>
    </w:p>
    <w:p w:rsidR="00491F3F" w:rsidRPr="00FA35DB" w:rsidRDefault="00491F3F" w:rsidP="00491F3F">
      <w:pPr>
        <w:spacing w:before="120" w:after="120"/>
        <w:rPr>
          <w:rFonts w:ascii="Verdana" w:hAnsi="Verdana" w:cs="Arial"/>
        </w:rPr>
      </w:pPr>
      <w:r w:rsidRPr="00FA35DB">
        <w:rPr>
          <w:rFonts w:ascii="Verdana" w:hAnsi="Verdana" w:cs="Arial"/>
        </w:rPr>
        <w:t>Der Widerspruch ist durch mindestens folgende Punkte begründet und berechtigt:</w:t>
      </w:r>
    </w:p>
    <w:p w:rsidR="00491F3F" w:rsidRPr="00FA35DB" w:rsidRDefault="00491F3F" w:rsidP="00491F3F">
      <w:pPr>
        <w:pStyle w:val="Listenabsatz"/>
        <w:numPr>
          <w:ilvl w:val="0"/>
          <w:numId w:val="17"/>
        </w:numPr>
        <w:spacing w:before="120" w:after="120" w:line="240" w:lineRule="auto"/>
        <w:ind w:left="714" w:hanging="357"/>
        <w:contextualSpacing w:val="0"/>
        <w:rPr>
          <w:rFonts w:cs="Arial"/>
        </w:rPr>
      </w:pPr>
      <w:r w:rsidRPr="00FA35DB">
        <w:rPr>
          <w:rFonts w:cs="Arial"/>
        </w:rPr>
        <w:t xml:space="preserve">Es ist nicht erkennbar, um wie viele </w:t>
      </w:r>
      <w:r w:rsidRPr="00FA35DB">
        <w:rPr>
          <w:rFonts w:cs="Arial"/>
          <w:b/>
        </w:rPr>
        <w:t xml:space="preserve">neue </w:t>
      </w:r>
      <w:r w:rsidRPr="00FA35DB">
        <w:rPr>
          <w:rFonts w:cs="Arial"/>
        </w:rPr>
        <w:t>Mitarbeiter es sich dabei handelt</w:t>
      </w:r>
      <w:r w:rsidR="009A2215">
        <w:rPr>
          <w:rFonts w:cs="Arial"/>
        </w:rPr>
        <w:t>,</w:t>
      </w:r>
      <w:r w:rsidRPr="00FA35DB">
        <w:rPr>
          <w:rFonts w:cs="Arial"/>
        </w:rPr>
        <w:t xml:space="preserve"> und konkret welche zusätzlichen Leistungen durch diese Mitarbeiter erbracht werden sollen. Eine für den Gebührenzahler nachvollziehbare qualitative/quantitative Verbesserung wurde nicht </w:t>
      </w:r>
      <w:r w:rsidR="009A2215">
        <w:rPr>
          <w:rFonts w:cs="Arial"/>
        </w:rPr>
        <w:t>dargelegt</w:t>
      </w:r>
      <w:r w:rsidRPr="00FA35DB">
        <w:rPr>
          <w:rFonts w:cs="Arial"/>
        </w:rPr>
        <w:t>.</w:t>
      </w:r>
    </w:p>
    <w:p w:rsidR="00491F3F" w:rsidRPr="00FA35DB" w:rsidRDefault="00491F3F" w:rsidP="00491F3F">
      <w:pPr>
        <w:pStyle w:val="Listenabsatz"/>
        <w:numPr>
          <w:ilvl w:val="0"/>
          <w:numId w:val="17"/>
        </w:numPr>
        <w:spacing w:before="120" w:after="120" w:line="240" w:lineRule="auto"/>
        <w:ind w:left="714" w:hanging="357"/>
        <w:contextualSpacing w:val="0"/>
        <w:rPr>
          <w:rFonts w:cs="Arial"/>
        </w:rPr>
      </w:pPr>
      <w:r w:rsidRPr="00FA35DB">
        <w:rPr>
          <w:rFonts w:cs="Arial"/>
        </w:rPr>
        <w:t>Die Steigerungen zwischen 2014 und 2016 sowie zwischen 2015 und 2016 sind überzogen und durch nicht</w:t>
      </w:r>
      <w:r w:rsidR="001E4DE8" w:rsidRPr="00FA35DB">
        <w:rPr>
          <w:rFonts w:cs="Arial"/>
        </w:rPr>
        <w:t>s</w:t>
      </w:r>
      <w:r w:rsidRPr="00FA35DB">
        <w:rPr>
          <w:rFonts w:cs="Arial"/>
        </w:rPr>
        <w:t xml:space="preserve"> begründet.</w:t>
      </w:r>
    </w:p>
    <w:p w:rsidR="00491F3F" w:rsidRPr="00FA35DB" w:rsidRDefault="00491F3F" w:rsidP="00491F3F">
      <w:pPr>
        <w:pStyle w:val="Listenabsatz"/>
        <w:numPr>
          <w:ilvl w:val="0"/>
          <w:numId w:val="17"/>
        </w:numPr>
        <w:spacing w:before="120" w:after="120" w:line="240" w:lineRule="auto"/>
        <w:contextualSpacing w:val="0"/>
        <w:rPr>
          <w:rFonts w:cs="Arial"/>
        </w:rPr>
      </w:pPr>
      <w:r w:rsidRPr="00FA35DB">
        <w:rPr>
          <w:rFonts w:cs="Arial"/>
        </w:rPr>
        <w:t>Ein Zusammenhang zwischen „Systemabfalleimer“ und „Mülleingreiftruppe“ ist nicht erkennbar und auch nicht beschrieben. Es entsteht der Eindruck, dass die Erhöhung von einer halben Million EURO „irgendwo</w:t>
      </w:r>
      <w:r w:rsidR="001E4DE8" w:rsidRPr="00FA35DB">
        <w:rPr>
          <w:rFonts w:cs="Arial"/>
        </w:rPr>
        <w:t>“</w:t>
      </w:r>
      <w:r w:rsidRPr="00FA35DB">
        <w:rPr>
          <w:rFonts w:cs="Arial"/>
        </w:rPr>
        <w:t xml:space="preserve"> untergebracht werden sollte.</w:t>
      </w:r>
    </w:p>
    <w:p w:rsidR="00491F3F" w:rsidRPr="00FA35DB" w:rsidRDefault="00491F3F" w:rsidP="00491F3F">
      <w:pPr>
        <w:pStyle w:val="Listenabsatz"/>
        <w:numPr>
          <w:ilvl w:val="0"/>
          <w:numId w:val="17"/>
        </w:numPr>
        <w:spacing w:before="120" w:after="120" w:line="240" w:lineRule="auto"/>
        <w:ind w:left="714" w:hanging="357"/>
        <w:contextualSpacing w:val="0"/>
        <w:rPr>
          <w:rFonts w:cs="Arial"/>
        </w:rPr>
      </w:pPr>
      <w:r w:rsidRPr="00FA35DB">
        <w:rPr>
          <w:rFonts w:cs="Arial"/>
        </w:rPr>
        <w:t>Abgesehen davon können nach einschlägiger Rechtsprechung Maßnahmen erst dann gebührenrelevant werden, wenn sie abgeschlossen/eingeführt sind (Periodengerechtigkeit). Dies träfe bei der „Mülleingreiftruppe“ ebenso zu, weil explizit von einem „</w:t>
      </w:r>
      <w:r w:rsidRPr="00FA35DB">
        <w:rPr>
          <w:rFonts w:cs="Arial"/>
          <w:b/>
        </w:rPr>
        <w:t>Aufbau</w:t>
      </w:r>
      <w:r w:rsidRPr="00FA35DB">
        <w:rPr>
          <w:rFonts w:cs="Arial"/>
        </w:rPr>
        <w:t xml:space="preserve">“ gesprochen wird. </w:t>
      </w:r>
    </w:p>
    <w:p w:rsidR="00B70734" w:rsidRPr="00FA35DB" w:rsidRDefault="00491F3F" w:rsidP="00B70734">
      <w:pPr>
        <w:spacing w:before="120" w:after="120"/>
        <w:ind w:left="360"/>
        <w:rPr>
          <w:rFonts w:ascii="Verdana" w:hAnsi="Verdana" w:cs="Arial"/>
        </w:rPr>
      </w:pPr>
      <w:r w:rsidRPr="00FA35DB">
        <w:rPr>
          <w:rFonts w:ascii="Verdana" w:hAnsi="Verdana" w:cs="Arial"/>
        </w:rPr>
        <w:tab/>
        <w:t xml:space="preserve">(Keine Leistungserbringung durch die Kommune = </w:t>
      </w:r>
      <w:r w:rsidR="001E4DE8" w:rsidRPr="00FA35DB">
        <w:rPr>
          <w:rFonts w:ascii="Verdana" w:hAnsi="Verdana" w:cs="Arial"/>
        </w:rPr>
        <w:t>k</w:t>
      </w:r>
      <w:r w:rsidRPr="00FA35DB">
        <w:rPr>
          <w:rFonts w:ascii="Verdana" w:hAnsi="Verdana" w:cs="Arial"/>
        </w:rPr>
        <w:t>eine Gebührenerhebung).</w:t>
      </w:r>
    </w:p>
    <w:p w:rsidR="00B70734" w:rsidRDefault="00B70734" w:rsidP="00336CAB">
      <w:pPr>
        <w:pStyle w:val="Listenabsatz"/>
        <w:numPr>
          <w:ilvl w:val="0"/>
          <w:numId w:val="17"/>
        </w:numPr>
        <w:spacing w:before="120" w:after="120"/>
        <w:rPr>
          <w:rFonts w:cs="Arial"/>
        </w:rPr>
      </w:pPr>
      <w:r w:rsidRPr="00FA35DB">
        <w:rPr>
          <w:rFonts w:cs="Arial"/>
        </w:rPr>
        <w:t xml:space="preserve">Darüber hinaus ist nicht erkennbar, ob und in welchem Umfang sich das „Duale System Deutschland“ (DSD) an den Kosten der </w:t>
      </w:r>
      <w:r w:rsidR="00336CAB" w:rsidRPr="00FA35DB">
        <w:rPr>
          <w:rFonts w:cs="Arial"/>
        </w:rPr>
        <w:t xml:space="preserve">„Schnelle Mülleingreiftruppe“ </w:t>
      </w:r>
      <w:r w:rsidRPr="00FA35DB">
        <w:rPr>
          <w:rFonts w:cs="Arial"/>
        </w:rPr>
        <w:t xml:space="preserve">beteiligt und diese Kostenbeteiligung zur Gebührenminderung führt. </w:t>
      </w:r>
      <w:r w:rsidR="00336CAB" w:rsidRPr="00FA35DB">
        <w:rPr>
          <w:rFonts w:cs="Arial"/>
        </w:rPr>
        <w:br/>
      </w:r>
      <w:r w:rsidR="00336CAB" w:rsidRPr="00FA35DB">
        <w:rPr>
          <w:rFonts w:cs="Arial"/>
        </w:rPr>
        <w:br/>
        <w:t>Die</w:t>
      </w:r>
      <w:r w:rsidR="001E4DE8" w:rsidRPr="00FA35DB">
        <w:rPr>
          <w:rFonts w:cs="Arial"/>
        </w:rPr>
        <w:t>s</w:t>
      </w:r>
      <w:r w:rsidR="00336CAB" w:rsidRPr="00FA35DB">
        <w:rPr>
          <w:rFonts w:cs="Arial"/>
        </w:rPr>
        <w:t xml:space="preserve"> </w:t>
      </w:r>
      <w:r w:rsidR="003F76E9">
        <w:rPr>
          <w:rFonts w:cs="Arial"/>
        </w:rPr>
        <w:t xml:space="preserve">besonders </w:t>
      </w:r>
      <w:r w:rsidR="00336CAB" w:rsidRPr="00FA35DB">
        <w:rPr>
          <w:rFonts w:cs="Arial"/>
        </w:rPr>
        <w:t xml:space="preserve">vor dem Hintergrund, dass das DSD </w:t>
      </w:r>
      <w:r w:rsidR="0046657D" w:rsidRPr="00FA35DB">
        <w:rPr>
          <w:rFonts w:cs="Arial"/>
        </w:rPr>
        <w:t xml:space="preserve">davon profitiert, </w:t>
      </w:r>
      <w:r w:rsidR="00A406A7" w:rsidRPr="00FA35DB">
        <w:rPr>
          <w:rFonts w:cs="Arial"/>
        </w:rPr>
        <w:t xml:space="preserve">weil in den </w:t>
      </w:r>
      <w:r w:rsidR="0046657D" w:rsidRPr="00FA35DB">
        <w:rPr>
          <w:rFonts w:cs="Arial"/>
        </w:rPr>
        <w:t>von der „Mülleingreiftruppe“ eingesammelt</w:t>
      </w:r>
      <w:r w:rsidR="00A406A7" w:rsidRPr="00FA35DB">
        <w:rPr>
          <w:rFonts w:cs="Arial"/>
        </w:rPr>
        <w:t>en</w:t>
      </w:r>
      <w:r w:rsidR="0046657D" w:rsidRPr="00FA35DB">
        <w:rPr>
          <w:rFonts w:cs="Arial"/>
        </w:rPr>
        <w:t xml:space="preserve"> </w:t>
      </w:r>
      <w:r w:rsidR="00A406A7" w:rsidRPr="00FA35DB">
        <w:rPr>
          <w:rFonts w:cs="Arial"/>
        </w:rPr>
        <w:t>Abfällen</w:t>
      </w:r>
      <w:r w:rsidR="0046657D" w:rsidRPr="00FA35DB">
        <w:rPr>
          <w:rFonts w:cs="Arial"/>
        </w:rPr>
        <w:t xml:space="preserve">, vielfach </w:t>
      </w:r>
      <w:r w:rsidR="00FE5709" w:rsidRPr="00FA35DB">
        <w:rPr>
          <w:rFonts w:cs="Arial"/>
        </w:rPr>
        <w:t>Glas, Bierdosen</w:t>
      </w:r>
      <w:r w:rsidR="00A406A7" w:rsidRPr="00FA35DB">
        <w:rPr>
          <w:rFonts w:cs="Arial"/>
        </w:rPr>
        <w:t>, Verpackungen</w:t>
      </w:r>
      <w:r w:rsidR="00FE5709" w:rsidRPr="00FA35DB">
        <w:rPr>
          <w:rFonts w:cs="Arial"/>
        </w:rPr>
        <w:t xml:space="preserve"> usw. </w:t>
      </w:r>
      <w:r w:rsidR="001E4DE8" w:rsidRPr="00FA35DB">
        <w:rPr>
          <w:rFonts w:cs="Arial"/>
        </w:rPr>
        <w:t xml:space="preserve">des „Grünen Punktes“ </w:t>
      </w:r>
      <w:r w:rsidR="00FE5709" w:rsidRPr="00FA35DB">
        <w:rPr>
          <w:rFonts w:cs="Arial"/>
        </w:rPr>
        <w:t>enthalten sind.</w:t>
      </w:r>
    </w:p>
    <w:p w:rsidR="000C6485" w:rsidRPr="000C6485" w:rsidRDefault="000C6485" w:rsidP="000C6485">
      <w:pPr>
        <w:spacing w:before="120" w:after="120"/>
        <w:rPr>
          <w:rFonts w:cs="Arial"/>
        </w:rPr>
      </w:pPr>
    </w:p>
    <w:sectPr w:rsidR="000C6485" w:rsidRPr="000C6485" w:rsidSect="004F1104">
      <w:pgSz w:w="11907" w:h="16840"/>
      <w:pgMar w:top="1134" w:right="1134" w:bottom="1134" w:left="1134" w:header="72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554" w:rsidRDefault="00811554">
      <w:r>
        <w:separator/>
      </w:r>
    </w:p>
  </w:endnote>
  <w:endnote w:type="continuationSeparator" w:id="0">
    <w:p w:rsidR="00811554" w:rsidRDefault="00811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Symbol">
    <w:panose1 w:val="05050102010706020507"/>
    <w:charset w:val="02"/>
    <w:family w:val="roman"/>
    <w:notTrueTyp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554" w:rsidRDefault="00811554">
      <w:r>
        <w:separator/>
      </w:r>
    </w:p>
  </w:footnote>
  <w:footnote w:type="continuationSeparator" w:id="0">
    <w:p w:rsidR="00811554" w:rsidRDefault="00811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8BE"/>
    <w:multiLevelType w:val="hybridMultilevel"/>
    <w:tmpl w:val="28CC79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9315F6D"/>
    <w:multiLevelType w:val="hybridMultilevel"/>
    <w:tmpl w:val="88EC6C76"/>
    <w:lvl w:ilvl="0" w:tplc="6E8EB87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7C1EB6"/>
    <w:multiLevelType w:val="hybridMultilevel"/>
    <w:tmpl w:val="70C233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A252F86"/>
    <w:multiLevelType w:val="hybridMultilevel"/>
    <w:tmpl w:val="47B68E8E"/>
    <w:lvl w:ilvl="0" w:tplc="54FCB3C8">
      <w:start w:val="1"/>
      <w:numFmt w:val="decimal"/>
      <w:lvlText w:val="%1."/>
      <w:lvlJc w:val="left"/>
      <w:pPr>
        <w:tabs>
          <w:tab w:val="num" w:pos="720"/>
        </w:tabs>
        <w:ind w:left="720" w:hanging="360"/>
      </w:pPr>
      <w:rPr>
        <w:rFonts w:hint="default"/>
      </w:rPr>
    </w:lvl>
    <w:lvl w:ilvl="1" w:tplc="97A8A6C4">
      <w:numFmt w:val="none"/>
      <w:lvlText w:val=""/>
      <w:lvlJc w:val="left"/>
      <w:pPr>
        <w:tabs>
          <w:tab w:val="num" w:pos="360"/>
        </w:tabs>
      </w:pPr>
    </w:lvl>
    <w:lvl w:ilvl="2" w:tplc="47EE0912">
      <w:numFmt w:val="none"/>
      <w:lvlText w:val=""/>
      <w:lvlJc w:val="left"/>
      <w:pPr>
        <w:tabs>
          <w:tab w:val="num" w:pos="360"/>
        </w:tabs>
      </w:pPr>
    </w:lvl>
    <w:lvl w:ilvl="3" w:tplc="75B8B786">
      <w:numFmt w:val="none"/>
      <w:lvlText w:val=""/>
      <w:lvlJc w:val="left"/>
      <w:pPr>
        <w:tabs>
          <w:tab w:val="num" w:pos="360"/>
        </w:tabs>
      </w:pPr>
    </w:lvl>
    <w:lvl w:ilvl="4" w:tplc="1B527580">
      <w:numFmt w:val="none"/>
      <w:lvlText w:val=""/>
      <w:lvlJc w:val="left"/>
      <w:pPr>
        <w:tabs>
          <w:tab w:val="num" w:pos="360"/>
        </w:tabs>
      </w:pPr>
    </w:lvl>
    <w:lvl w:ilvl="5" w:tplc="1174CF68">
      <w:numFmt w:val="none"/>
      <w:lvlText w:val=""/>
      <w:lvlJc w:val="left"/>
      <w:pPr>
        <w:tabs>
          <w:tab w:val="num" w:pos="360"/>
        </w:tabs>
      </w:pPr>
    </w:lvl>
    <w:lvl w:ilvl="6" w:tplc="41D0354E">
      <w:numFmt w:val="none"/>
      <w:lvlText w:val=""/>
      <w:lvlJc w:val="left"/>
      <w:pPr>
        <w:tabs>
          <w:tab w:val="num" w:pos="360"/>
        </w:tabs>
      </w:pPr>
    </w:lvl>
    <w:lvl w:ilvl="7" w:tplc="7696E2AC">
      <w:numFmt w:val="none"/>
      <w:lvlText w:val=""/>
      <w:lvlJc w:val="left"/>
      <w:pPr>
        <w:tabs>
          <w:tab w:val="num" w:pos="360"/>
        </w:tabs>
      </w:pPr>
    </w:lvl>
    <w:lvl w:ilvl="8" w:tplc="9626C278">
      <w:numFmt w:val="none"/>
      <w:lvlText w:val=""/>
      <w:lvlJc w:val="left"/>
      <w:pPr>
        <w:tabs>
          <w:tab w:val="num" w:pos="360"/>
        </w:tabs>
      </w:pPr>
    </w:lvl>
  </w:abstractNum>
  <w:abstractNum w:abstractNumId="4">
    <w:nsid w:val="1C022DA4"/>
    <w:multiLevelType w:val="hybridMultilevel"/>
    <w:tmpl w:val="3B160906"/>
    <w:lvl w:ilvl="0" w:tplc="6C6A7B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E24600"/>
    <w:multiLevelType w:val="hybridMultilevel"/>
    <w:tmpl w:val="0A02303C"/>
    <w:lvl w:ilvl="0" w:tplc="F1D080F4">
      <w:start w:val="1"/>
      <w:numFmt w:val="decimal"/>
      <w:lvlText w:val="%1."/>
      <w:lvlJc w:val="left"/>
      <w:pPr>
        <w:tabs>
          <w:tab w:val="num" w:pos="1004"/>
        </w:tabs>
        <w:ind w:left="1004" w:hanging="360"/>
      </w:pPr>
      <w:rPr>
        <w:rFonts w:hint="default"/>
      </w:rPr>
    </w:lvl>
    <w:lvl w:ilvl="1" w:tplc="74707518">
      <w:numFmt w:val="none"/>
      <w:lvlText w:val=""/>
      <w:lvlJc w:val="left"/>
      <w:pPr>
        <w:tabs>
          <w:tab w:val="num" w:pos="360"/>
        </w:tabs>
      </w:pPr>
    </w:lvl>
    <w:lvl w:ilvl="2" w:tplc="82D0E6D8">
      <w:numFmt w:val="none"/>
      <w:lvlText w:val=""/>
      <w:lvlJc w:val="left"/>
      <w:pPr>
        <w:tabs>
          <w:tab w:val="num" w:pos="360"/>
        </w:tabs>
      </w:pPr>
    </w:lvl>
    <w:lvl w:ilvl="3" w:tplc="8A263C24">
      <w:numFmt w:val="none"/>
      <w:lvlText w:val=""/>
      <w:lvlJc w:val="left"/>
      <w:pPr>
        <w:tabs>
          <w:tab w:val="num" w:pos="360"/>
        </w:tabs>
      </w:pPr>
    </w:lvl>
    <w:lvl w:ilvl="4" w:tplc="B2E8F1D0">
      <w:numFmt w:val="none"/>
      <w:lvlText w:val=""/>
      <w:lvlJc w:val="left"/>
      <w:pPr>
        <w:tabs>
          <w:tab w:val="num" w:pos="360"/>
        </w:tabs>
      </w:pPr>
    </w:lvl>
    <w:lvl w:ilvl="5" w:tplc="6F08264C">
      <w:numFmt w:val="none"/>
      <w:lvlText w:val=""/>
      <w:lvlJc w:val="left"/>
      <w:pPr>
        <w:tabs>
          <w:tab w:val="num" w:pos="360"/>
        </w:tabs>
      </w:pPr>
    </w:lvl>
    <w:lvl w:ilvl="6" w:tplc="B5D4175A">
      <w:numFmt w:val="none"/>
      <w:lvlText w:val=""/>
      <w:lvlJc w:val="left"/>
      <w:pPr>
        <w:tabs>
          <w:tab w:val="num" w:pos="360"/>
        </w:tabs>
      </w:pPr>
    </w:lvl>
    <w:lvl w:ilvl="7" w:tplc="30F47BAE">
      <w:numFmt w:val="none"/>
      <w:lvlText w:val=""/>
      <w:lvlJc w:val="left"/>
      <w:pPr>
        <w:tabs>
          <w:tab w:val="num" w:pos="360"/>
        </w:tabs>
      </w:pPr>
    </w:lvl>
    <w:lvl w:ilvl="8" w:tplc="41D03A40">
      <w:numFmt w:val="none"/>
      <w:lvlText w:val=""/>
      <w:lvlJc w:val="left"/>
      <w:pPr>
        <w:tabs>
          <w:tab w:val="num" w:pos="360"/>
        </w:tabs>
      </w:pPr>
    </w:lvl>
  </w:abstractNum>
  <w:abstractNum w:abstractNumId="6">
    <w:nsid w:val="29987215"/>
    <w:multiLevelType w:val="hybridMultilevel"/>
    <w:tmpl w:val="7E34F9D8"/>
    <w:lvl w:ilvl="0" w:tplc="91EED504">
      <w:start w:val="10"/>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E841D6"/>
    <w:multiLevelType w:val="hybridMultilevel"/>
    <w:tmpl w:val="EEF86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BCA032A"/>
    <w:multiLevelType w:val="hybridMultilevel"/>
    <w:tmpl w:val="083A04EE"/>
    <w:lvl w:ilvl="0" w:tplc="6E8EB87A">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1052712"/>
    <w:multiLevelType w:val="hybridMultilevel"/>
    <w:tmpl w:val="51CED924"/>
    <w:lvl w:ilvl="0" w:tplc="7452CE96">
      <w:start w:val="1"/>
      <w:numFmt w:val="bullet"/>
      <w:lvlText w:val=""/>
      <w:lvlJc w:val="left"/>
      <w:pPr>
        <w:tabs>
          <w:tab w:val="num" w:pos="1080"/>
        </w:tabs>
        <w:ind w:left="1080" w:hanging="360"/>
      </w:pPr>
      <w:rPr>
        <w:rFonts w:ascii="Wingdings" w:hAnsi="Wingdings" w:hint="default"/>
        <w:sz w:val="28"/>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nsid w:val="4CAF181C"/>
    <w:multiLevelType w:val="multilevel"/>
    <w:tmpl w:val="2E7EF95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8A62F7D"/>
    <w:multiLevelType w:val="hybridMultilevel"/>
    <w:tmpl w:val="083A04EE"/>
    <w:lvl w:ilvl="0" w:tplc="6E8EB87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F9D569D"/>
    <w:multiLevelType w:val="hybridMultilevel"/>
    <w:tmpl w:val="083A04EE"/>
    <w:lvl w:ilvl="0" w:tplc="6E8EB87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0E46638"/>
    <w:multiLevelType w:val="hybridMultilevel"/>
    <w:tmpl w:val="23302D5E"/>
    <w:lvl w:ilvl="0" w:tplc="9BBC06F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99C4EC1"/>
    <w:multiLevelType w:val="hybridMultilevel"/>
    <w:tmpl w:val="51CED92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6B1609B3"/>
    <w:multiLevelType w:val="hybridMultilevel"/>
    <w:tmpl w:val="B1B020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B356A32"/>
    <w:multiLevelType w:val="hybridMultilevel"/>
    <w:tmpl w:val="7810A06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FEE3480"/>
    <w:multiLevelType w:val="multilevel"/>
    <w:tmpl w:val="9FE8F91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17"/>
  </w:num>
  <w:num w:numId="4">
    <w:abstractNumId w:val="2"/>
  </w:num>
  <w:num w:numId="5">
    <w:abstractNumId w:val="3"/>
  </w:num>
  <w:num w:numId="6">
    <w:abstractNumId w:val="9"/>
  </w:num>
  <w:num w:numId="7">
    <w:abstractNumId w:val="14"/>
  </w:num>
  <w:num w:numId="8">
    <w:abstractNumId w:val="0"/>
  </w:num>
  <w:num w:numId="9">
    <w:abstractNumId w:val="16"/>
  </w:num>
  <w:num w:numId="10">
    <w:abstractNumId w:val="7"/>
  </w:num>
  <w:num w:numId="11">
    <w:abstractNumId w:val="6"/>
  </w:num>
  <w:num w:numId="12">
    <w:abstractNumId w:val="8"/>
  </w:num>
  <w:num w:numId="13">
    <w:abstractNumId w:val="4"/>
  </w:num>
  <w:num w:numId="14">
    <w:abstractNumId w:val="11"/>
  </w:num>
  <w:num w:numId="15">
    <w:abstractNumId w:val="13"/>
  </w:num>
  <w:num w:numId="16">
    <w:abstractNumId w:val="12"/>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printFractionalCharacterWidth/>
  <w:embedSystemFonts/>
  <w:hideGrammaticalErrors/>
  <w:proofState w:spelling="clean"/>
  <w:attachedTemplate r:id="rId1"/>
  <w:stylePaneFormatFilter w:val="3F01"/>
  <w:defaultTabStop w:val="709"/>
  <w:consecutiveHyphenLimit w:val="1"/>
  <w:hyphenationZone w:val="14"/>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5D2445"/>
    <w:rsid w:val="0001126E"/>
    <w:rsid w:val="00016BD6"/>
    <w:rsid w:val="00031C59"/>
    <w:rsid w:val="00044BBF"/>
    <w:rsid w:val="00054360"/>
    <w:rsid w:val="00057AF2"/>
    <w:rsid w:val="00070F41"/>
    <w:rsid w:val="000976C7"/>
    <w:rsid w:val="000A4A4A"/>
    <w:rsid w:val="000B0C27"/>
    <w:rsid w:val="000B1206"/>
    <w:rsid w:val="000C6485"/>
    <w:rsid w:val="000C72E0"/>
    <w:rsid w:val="000E0B69"/>
    <w:rsid w:val="000F11A8"/>
    <w:rsid w:val="00130113"/>
    <w:rsid w:val="00132BF5"/>
    <w:rsid w:val="001D1C01"/>
    <w:rsid w:val="001E4DE8"/>
    <w:rsid w:val="002060AF"/>
    <w:rsid w:val="00220761"/>
    <w:rsid w:val="00250E24"/>
    <w:rsid w:val="002B0AC7"/>
    <w:rsid w:val="002B5D60"/>
    <w:rsid w:val="002E670E"/>
    <w:rsid w:val="003039BB"/>
    <w:rsid w:val="00332DB2"/>
    <w:rsid w:val="00336CAB"/>
    <w:rsid w:val="003527CF"/>
    <w:rsid w:val="003528AE"/>
    <w:rsid w:val="003641D0"/>
    <w:rsid w:val="003D0C05"/>
    <w:rsid w:val="003D0FBD"/>
    <w:rsid w:val="003E21B1"/>
    <w:rsid w:val="003E2471"/>
    <w:rsid w:val="003E7BE6"/>
    <w:rsid w:val="003F76E9"/>
    <w:rsid w:val="0040040E"/>
    <w:rsid w:val="00410DE6"/>
    <w:rsid w:val="00446E3F"/>
    <w:rsid w:val="0045440E"/>
    <w:rsid w:val="0046657D"/>
    <w:rsid w:val="00491F3F"/>
    <w:rsid w:val="004F1104"/>
    <w:rsid w:val="004F6372"/>
    <w:rsid w:val="00513054"/>
    <w:rsid w:val="0051388C"/>
    <w:rsid w:val="005303DF"/>
    <w:rsid w:val="005400F9"/>
    <w:rsid w:val="00554C57"/>
    <w:rsid w:val="00563222"/>
    <w:rsid w:val="00567C92"/>
    <w:rsid w:val="00573C13"/>
    <w:rsid w:val="00586D5F"/>
    <w:rsid w:val="0059675E"/>
    <w:rsid w:val="005A5C56"/>
    <w:rsid w:val="005C0446"/>
    <w:rsid w:val="005D18CB"/>
    <w:rsid w:val="005D2445"/>
    <w:rsid w:val="005F55F4"/>
    <w:rsid w:val="00601E25"/>
    <w:rsid w:val="006103EA"/>
    <w:rsid w:val="00637B08"/>
    <w:rsid w:val="00646317"/>
    <w:rsid w:val="00666C05"/>
    <w:rsid w:val="00691E97"/>
    <w:rsid w:val="00696582"/>
    <w:rsid w:val="006B4A3C"/>
    <w:rsid w:val="006D59C4"/>
    <w:rsid w:val="006D5CE5"/>
    <w:rsid w:val="006E14FA"/>
    <w:rsid w:val="006E5D20"/>
    <w:rsid w:val="00702D5E"/>
    <w:rsid w:val="00723EE4"/>
    <w:rsid w:val="00762B22"/>
    <w:rsid w:val="00767C6B"/>
    <w:rsid w:val="00771171"/>
    <w:rsid w:val="00780BE2"/>
    <w:rsid w:val="007D1F64"/>
    <w:rsid w:val="00801C57"/>
    <w:rsid w:val="00802AB8"/>
    <w:rsid w:val="00803E10"/>
    <w:rsid w:val="00804B56"/>
    <w:rsid w:val="00811554"/>
    <w:rsid w:val="008324EA"/>
    <w:rsid w:val="008379EB"/>
    <w:rsid w:val="008419AE"/>
    <w:rsid w:val="008469EA"/>
    <w:rsid w:val="00872AAF"/>
    <w:rsid w:val="00880A45"/>
    <w:rsid w:val="00880A7F"/>
    <w:rsid w:val="00893023"/>
    <w:rsid w:val="008A6B2C"/>
    <w:rsid w:val="008B2FCE"/>
    <w:rsid w:val="008E28C3"/>
    <w:rsid w:val="008E35FC"/>
    <w:rsid w:val="00914877"/>
    <w:rsid w:val="009157A3"/>
    <w:rsid w:val="00921887"/>
    <w:rsid w:val="009353CE"/>
    <w:rsid w:val="00943334"/>
    <w:rsid w:val="00972AEC"/>
    <w:rsid w:val="00973AA9"/>
    <w:rsid w:val="0098535C"/>
    <w:rsid w:val="0099310D"/>
    <w:rsid w:val="009A10A6"/>
    <w:rsid w:val="009A2215"/>
    <w:rsid w:val="009B148D"/>
    <w:rsid w:val="009C218C"/>
    <w:rsid w:val="009D7E58"/>
    <w:rsid w:val="00A24FCE"/>
    <w:rsid w:val="00A406A7"/>
    <w:rsid w:val="00A40DA9"/>
    <w:rsid w:val="00A46803"/>
    <w:rsid w:val="00A82A3F"/>
    <w:rsid w:val="00AA263E"/>
    <w:rsid w:val="00AF1C3D"/>
    <w:rsid w:val="00B0147A"/>
    <w:rsid w:val="00B01ED1"/>
    <w:rsid w:val="00B24598"/>
    <w:rsid w:val="00B25AC6"/>
    <w:rsid w:val="00B54C83"/>
    <w:rsid w:val="00B56325"/>
    <w:rsid w:val="00B603A1"/>
    <w:rsid w:val="00B70734"/>
    <w:rsid w:val="00B9620D"/>
    <w:rsid w:val="00BA5132"/>
    <w:rsid w:val="00BA7E23"/>
    <w:rsid w:val="00BB56E0"/>
    <w:rsid w:val="00BC4408"/>
    <w:rsid w:val="00BE1FB6"/>
    <w:rsid w:val="00C0331A"/>
    <w:rsid w:val="00C31E77"/>
    <w:rsid w:val="00C55DE2"/>
    <w:rsid w:val="00C561CB"/>
    <w:rsid w:val="00C61098"/>
    <w:rsid w:val="00C75FE1"/>
    <w:rsid w:val="00C95D8A"/>
    <w:rsid w:val="00C9736E"/>
    <w:rsid w:val="00CA1F2B"/>
    <w:rsid w:val="00CA42F0"/>
    <w:rsid w:val="00CC23EE"/>
    <w:rsid w:val="00CC66B9"/>
    <w:rsid w:val="00CD084C"/>
    <w:rsid w:val="00CF42F4"/>
    <w:rsid w:val="00D04B36"/>
    <w:rsid w:val="00D04CAC"/>
    <w:rsid w:val="00D142E9"/>
    <w:rsid w:val="00D24AFF"/>
    <w:rsid w:val="00D50CFC"/>
    <w:rsid w:val="00D5108B"/>
    <w:rsid w:val="00E007AB"/>
    <w:rsid w:val="00E02A3B"/>
    <w:rsid w:val="00E052EC"/>
    <w:rsid w:val="00E645E0"/>
    <w:rsid w:val="00E77D1C"/>
    <w:rsid w:val="00E82717"/>
    <w:rsid w:val="00E90970"/>
    <w:rsid w:val="00EA42F3"/>
    <w:rsid w:val="00EC6FDD"/>
    <w:rsid w:val="00ED064F"/>
    <w:rsid w:val="00ED5A84"/>
    <w:rsid w:val="00F012AD"/>
    <w:rsid w:val="00F138A2"/>
    <w:rsid w:val="00F14549"/>
    <w:rsid w:val="00F97DE9"/>
    <w:rsid w:val="00FA35DB"/>
    <w:rsid w:val="00FC4BA4"/>
    <w:rsid w:val="00FD2CAF"/>
    <w:rsid w:val="00FE5709"/>
    <w:rsid w:val="00FF62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F1104"/>
    <w:pPr>
      <w:tabs>
        <w:tab w:val="left" w:pos="284"/>
      </w:tabs>
    </w:pPr>
    <w:rPr>
      <w:rFonts w:ascii="Helv" w:hAnsi="Helv"/>
    </w:rPr>
  </w:style>
  <w:style w:type="paragraph" w:styleId="berschrift1">
    <w:name w:val="heading 1"/>
    <w:basedOn w:val="Standard"/>
    <w:next w:val="Standard"/>
    <w:qFormat/>
    <w:rsid w:val="004F1104"/>
    <w:pPr>
      <w:keepNext/>
      <w:jc w:val="center"/>
      <w:outlineLvl w:val="0"/>
    </w:pPr>
    <w:rPr>
      <w:rFonts w:ascii="Arial" w:hAnsi="Arial"/>
      <w:b/>
      <w:bCs/>
    </w:rPr>
  </w:style>
  <w:style w:type="paragraph" w:styleId="berschrift2">
    <w:name w:val="heading 2"/>
    <w:basedOn w:val="Standard"/>
    <w:next w:val="Standard"/>
    <w:qFormat/>
    <w:rsid w:val="004F1104"/>
    <w:pPr>
      <w:keepNext/>
      <w:outlineLvl w:val="1"/>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F1104"/>
    <w:pPr>
      <w:tabs>
        <w:tab w:val="clear" w:pos="284"/>
        <w:tab w:val="left" w:pos="4678"/>
        <w:tab w:val="left" w:pos="9356"/>
      </w:tabs>
      <w:jc w:val="center"/>
    </w:pPr>
    <w:rPr>
      <w:rFonts w:ascii="Tahoma" w:hAnsi="Tahoma"/>
      <w:b/>
      <w:sz w:val="24"/>
    </w:rPr>
  </w:style>
  <w:style w:type="paragraph" w:styleId="Kopfzeile">
    <w:name w:val="header"/>
    <w:basedOn w:val="Standard"/>
    <w:rsid w:val="004F1104"/>
    <w:pPr>
      <w:tabs>
        <w:tab w:val="clear" w:pos="284"/>
        <w:tab w:val="center" w:pos="4536"/>
        <w:tab w:val="right" w:pos="9072"/>
      </w:tabs>
    </w:pPr>
  </w:style>
  <w:style w:type="paragraph" w:styleId="Fuzeile">
    <w:name w:val="footer"/>
    <w:basedOn w:val="Standard"/>
    <w:rsid w:val="004F1104"/>
    <w:pPr>
      <w:tabs>
        <w:tab w:val="clear" w:pos="284"/>
        <w:tab w:val="center" w:pos="4536"/>
        <w:tab w:val="right" w:pos="9072"/>
      </w:tabs>
    </w:pPr>
  </w:style>
  <w:style w:type="character" w:styleId="Seitenzahl">
    <w:name w:val="page number"/>
    <w:basedOn w:val="Absatz-Standardschriftart"/>
    <w:rsid w:val="004F1104"/>
  </w:style>
  <w:style w:type="paragraph" w:styleId="Textkrper">
    <w:name w:val="Body Text"/>
    <w:basedOn w:val="Standard"/>
    <w:rsid w:val="004F1104"/>
    <w:pPr>
      <w:tabs>
        <w:tab w:val="clear" w:pos="284"/>
      </w:tabs>
      <w:spacing w:before="60" w:after="60"/>
    </w:pPr>
    <w:rPr>
      <w:rFonts w:ascii="Arial" w:hAnsi="Arial" w:cs="Arial"/>
      <w:sz w:val="22"/>
    </w:rPr>
  </w:style>
  <w:style w:type="paragraph" w:styleId="Textkrper2">
    <w:name w:val="Body Text 2"/>
    <w:basedOn w:val="Standard"/>
    <w:rsid w:val="004F1104"/>
    <w:pPr>
      <w:jc w:val="center"/>
    </w:pPr>
    <w:rPr>
      <w:rFonts w:ascii="Arial" w:hAnsi="Arial" w:cs="Arial"/>
      <w:sz w:val="22"/>
    </w:rPr>
  </w:style>
  <w:style w:type="table" w:styleId="Tabellengitternetz">
    <w:name w:val="Table Grid"/>
    <w:basedOn w:val="NormaleTabelle"/>
    <w:rsid w:val="008E28C3"/>
    <w:pPr>
      <w:tabs>
        <w:tab w:val="left" w:pos="284"/>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rsid w:val="000E0B69"/>
    <w:rPr>
      <w:color w:val="0000FF"/>
      <w:u w:val="single"/>
    </w:rPr>
  </w:style>
  <w:style w:type="paragraph" w:styleId="Sprechblasentext">
    <w:name w:val="Balloon Text"/>
    <w:basedOn w:val="Standard"/>
    <w:semiHidden/>
    <w:rsid w:val="00ED064F"/>
    <w:rPr>
      <w:rFonts w:ascii="Tahoma" w:hAnsi="Tahoma" w:cs="Tahoma"/>
      <w:sz w:val="16"/>
      <w:szCs w:val="16"/>
    </w:rPr>
  </w:style>
  <w:style w:type="paragraph" w:styleId="Listenabsatz">
    <w:name w:val="List Paragraph"/>
    <w:basedOn w:val="Standard"/>
    <w:uiPriority w:val="34"/>
    <w:qFormat/>
    <w:rsid w:val="009353CE"/>
    <w:pPr>
      <w:tabs>
        <w:tab w:val="clear" w:pos="284"/>
      </w:tabs>
      <w:spacing w:after="200" w:line="276" w:lineRule="auto"/>
      <w:ind w:left="720"/>
      <w:contextualSpacing/>
    </w:pPr>
    <w:rPr>
      <w:rFonts w:ascii="Verdana" w:eastAsiaTheme="minorHAnsi" w:hAnsi="Verdana"/>
      <w:color w:val="000000"/>
      <w:lang w:eastAsia="en-US"/>
    </w:rPr>
  </w:style>
</w:styles>
</file>

<file path=word/webSettings.xml><?xml version="1.0" encoding="utf-8"?>
<w:webSettings xmlns:r="http://schemas.openxmlformats.org/officeDocument/2006/relationships" xmlns:w="http://schemas.openxmlformats.org/wordprocessingml/2006/main">
  <w:divs>
    <w:div w:id="89281583">
      <w:bodyDiv w:val="1"/>
      <w:marLeft w:val="0"/>
      <w:marRight w:val="0"/>
      <w:marTop w:val="0"/>
      <w:marBottom w:val="0"/>
      <w:divBdr>
        <w:top w:val="none" w:sz="0" w:space="0" w:color="auto"/>
        <w:left w:val="none" w:sz="0" w:space="0" w:color="auto"/>
        <w:bottom w:val="none" w:sz="0" w:space="0" w:color="auto"/>
        <w:right w:val="none" w:sz="0" w:space="0" w:color="auto"/>
      </w:divBdr>
    </w:div>
    <w:div w:id="507253247">
      <w:bodyDiv w:val="1"/>
      <w:marLeft w:val="0"/>
      <w:marRight w:val="0"/>
      <w:marTop w:val="0"/>
      <w:marBottom w:val="0"/>
      <w:divBdr>
        <w:top w:val="none" w:sz="0" w:space="0" w:color="auto"/>
        <w:left w:val="none" w:sz="0" w:space="0" w:color="auto"/>
        <w:bottom w:val="none" w:sz="0" w:space="0" w:color="auto"/>
        <w:right w:val="none" w:sz="0" w:space="0" w:color="auto"/>
      </w:divBdr>
    </w:div>
    <w:div w:id="541207558">
      <w:bodyDiv w:val="1"/>
      <w:marLeft w:val="0"/>
      <w:marRight w:val="0"/>
      <w:marTop w:val="0"/>
      <w:marBottom w:val="0"/>
      <w:divBdr>
        <w:top w:val="none" w:sz="0" w:space="0" w:color="auto"/>
        <w:left w:val="none" w:sz="0" w:space="0" w:color="auto"/>
        <w:bottom w:val="none" w:sz="0" w:space="0" w:color="auto"/>
        <w:right w:val="none" w:sz="0" w:space="0" w:color="auto"/>
      </w:divBdr>
    </w:div>
    <w:div w:id="1095782919">
      <w:bodyDiv w:val="1"/>
      <w:marLeft w:val="0"/>
      <w:marRight w:val="0"/>
      <w:marTop w:val="0"/>
      <w:marBottom w:val="0"/>
      <w:divBdr>
        <w:top w:val="none" w:sz="0" w:space="0" w:color="auto"/>
        <w:left w:val="none" w:sz="0" w:space="0" w:color="auto"/>
        <w:bottom w:val="none" w:sz="0" w:space="0" w:color="auto"/>
        <w:right w:val="none" w:sz="0" w:space="0" w:color="auto"/>
      </w:divBdr>
    </w:div>
    <w:div w:id="1399404293">
      <w:bodyDiv w:val="1"/>
      <w:marLeft w:val="0"/>
      <w:marRight w:val="0"/>
      <w:marTop w:val="0"/>
      <w:marBottom w:val="0"/>
      <w:divBdr>
        <w:top w:val="none" w:sz="0" w:space="0" w:color="auto"/>
        <w:left w:val="none" w:sz="0" w:space="0" w:color="auto"/>
        <w:bottom w:val="none" w:sz="0" w:space="0" w:color="auto"/>
        <w:right w:val="none" w:sz="0" w:space="0" w:color="auto"/>
      </w:divBdr>
    </w:div>
    <w:div w:id="1577741670">
      <w:bodyDiv w:val="1"/>
      <w:marLeft w:val="0"/>
      <w:marRight w:val="0"/>
      <w:marTop w:val="0"/>
      <w:marBottom w:val="0"/>
      <w:divBdr>
        <w:top w:val="none" w:sz="0" w:space="0" w:color="auto"/>
        <w:left w:val="none" w:sz="0" w:space="0" w:color="auto"/>
        <w:bottom w:val="none" w:sz="0" w:space="0" w:color="auto"/>
        <w:right w:val="none" w:sz="0" w:space="0" w:color="auto"/>
      </w:divBdr>
    </w:div>
    <w:div w:id="1584098301">
      <w:bodyDiv w:val="1"/>
      <w:marLeft w:val="0"/>
      <w:marRight w:val="0"/>
      <w:marTop w:val="0"/>
      <w:marBottom w:val="0"/>
      <w:divBdr>
        <w:top w:val="none" w:sz="0" w:space="0" w:color="auto"/>
        <w:left w:val="none" w:sz="0" w:space="0" w:color="auto"/>
        <w:bottom w:val="none" w:sz="0" w:space="0" w:color="auto"/>
        <w:right w:val="none" w:sz="0" w:space="0" w:color="auto"/>
      </w:divBdr>
    </w:div>
    <w:div w:id="1590116169">
      <w:bodyDiv w:val="1"/>
      <w:marLeft w:val="0"/>
      <w:marRight w:val="0"/>
      <w:marTop w:val="0"/>
      <w:marBottom w:val="0"/>
      <w:divBdr>
        <w:top w:val="none" w:sz="0" w:space="0" w:color="auto"/>
        <w:left w:val="none" w:sz="0" w:space="0" w:color="auto"/>
        <w:bottom w:val="none" w:sz="0" w:space="0" w:color="auto"/>
        <w:right w:val="none" w:sz="0" w:space="0" w:color="auto"/>
      </w:divBdr>
    </w:div>
    <w:div w:id="19967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Vorlagen\Briefe%20&amp;%20Faxe\GbRBr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GbRBrf.dot</Template>
  <TotalTime>0</TotalTime>
  <Pages>3</Pages>
  <Words>911</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Bernhard Wilms</vt:lpstr>
    </vt:vector>
  </TitlesOfParts>
  <Company>Frost-RL</Company>
  <LinksUpToDate>false</LinksUpToDate>
  <CharactersWithSpaces>6640</CharactersWithSpaces>
  <SharedDoc>false</SharedDoc>
  <HLinks>
    <vt:vector size="6" baseType="variant">
      <vt:variant>
        <vt:i4>721010</vt:i4>
      </vt:variant>
      <vt:variant>
        <vt:i4>0</vt:i4>
      </vt:variant>
      <vt:variant>
        <vt:i4>0</vt:i4>
      </vt:variant>
      <vt:variant>
        <vt:i4>5</vt:i4>
      </vt:variant>
      <vt:variant>
        <vt:lpwstr>mailto:bw@wilms-moenchengladbach.de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Bernhard Wilms</dc:title>
  <dc:creator>Bernhard Wilms</dc:creator>
  <cp:lastModifiedBy>Wilms</cp:lastModifiedBy>
  <cp:revision>3</cp:revision>
  <cp:lastPrinted>2016-01-20T14:17:00Z</cp:lastPrinted>
  <dcterms:created xsi:type="dcterms:W3CDTF">2016-04-21T07:13:00Z</dcterms:created>
  <dcterms:modified xsi:type="dcterms:W3CDTF">2016-04-21T07:14:00Z</dcterms:modified>
</cp:coreProperties>
</file>